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45A569" w14:textId="114A8BFA" w:rsidR="00B60E81" w:rsidRPr="00F6133C" w:rsidRDefault="00B27928" w:rsidP="00B60E8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2781447"/>
      <w:r>
        <w:rPr>
          <w:rFonts w:ascii="Times New Roman" w:hAnsi="Times New Roman" w:cs="Times New Roman"/>
          <w:b/>
          <w:sz w:val="24"/>
          <w:szCs w:val="24"/>
        </w:rPr>
        <w:t>Additional</w:t>
      </w:r>
      <w:r w:rsidR="00565A9E" w:rsidRPr="002E0CEA">
        <w:rPr>
          <w:rFonts w:ascii="Times New Roman" w:hAnsi="Times New Roman" w:cs="Times New Roman"/>
          <w:b/>
          <w:sz w:val="24"/>
          <w:szCs w:val="24"/>
        </w:rPr>
        <w:t xml:space="preserve"> Table</w:t>
      </w:r>
      <w:r w:rsidR="00A072C2" w:rsidRPr="002E0CEA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0E1BFE" w:rsidRPr="002E0CEA">
        <w:rPr>
          <w:rFonts w:ascii="Times New Roman" w:hAnsi="Times New Roman" w:cs="Times New Roman"/>
          <w:b/>
          <w:sz w:val="24"/>
          <w:szCs w:val="24"/>
        </w:rPr>
        <w:t>.</w:t>
      </w:r>
      <w:r w:rsidR="00726E4D" w:rsidRPr="002E0CEA">
        <w:rPr>
          <w:rFonts w:ascii="Times New Roman" w:hAnsi="Times New Roman" w:cs="Times New Roman"/>
          <w:sz w:val="24"/>
          <w:szCs w:val="24"/>
        </w:rPr>
        <w:t xml:space="preserve"> </w:t>
      </w:r>
      <w:r w:rsidR="00E23EC0" w:rsidRPr="00F6133C">
        <w:rPr>
          <w:rFonts w:ascii="Times New Roman" w:hAnsi="Times New Roman" w:cs="Times New Roman"/>
          <w:b/>
          <w:sz w:val="24"/>
          <w:szCs w:val="24"/>
        </w:rPr>
        <w:t xml:space="preserve">Description of the </w:t>
      </w:r>
      <w:r w:rsidR="00967BF3" w:rsidRPr="00F6133C">
        <w:rPr>
          <w:rFonts w:ascii="Times New Roman" w:hAnsi="Times New Roman" w:cs="Times New Roman"/>
          <w:b/>
          <w:sz w:val="24"/>
          <w:szCs w:val="24"/>
        </w:rPr>
        <w:t>most frequent</w:t>
      </w:r>
      <w:r w:rsidR="00E23EC0" w:rsidRPr="00F6133C">
        <w:rPr>
          <w:rFonts w:ascii="Times New Roman" w:hAnsi="Times New Roman" w:cs="Times New Roman"/>
          <w:b/>
          <w:sz w:val="24"/>
          <w:szCs w:val="24"/>
        </w:rPr>
        <w:t xml:space="preserve"> potential drug–drug interactions in patients with malaria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601"/>
        <w:gridCol w:w="1529"/>
        <w:gridCol w:w="1801"/>
        <w:gridCol w:w="1799"/>
        <w:gridCol w:w="4230"/>
      </w:tblGrid>
      <w:tr w:rsidR="00B60E81" w:rsidRPr="002E0CEA" w14:paraId="369AFEAF" w14:textId="77777777" w:rsidTr="006F22ED">
        <w:trPr>
          <w:trHeight w:val="315"/>
        </w:trPr>
        <w:tc>
          <w:tcPr>
            <w:tcW w:w="138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DE795E5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Interacting pair</w:t>
            </w: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786E497B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69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3A05E4FA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Severity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0F2E16E0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Documentation</w:t>
            </w:r>
          </w:p>
        </w:tc>
        <w:tc>
          <w:tcPr>
            <w:tcW w:w="163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763050DC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Adverse outcomes</w:t>
            </w:r>
          </w:p>
        </w:tc>
      </w:tr>
      <w:tr w:rsidR="00B60E81" w:rsidRPr="002E0CEA" w14:paraId="646082D0" w14:textId="77777777" w:rsidTr="006F22ED">
        <w:trPr>
          <w:trHeight w:val="315"/>
        </w:trPr>
        <w:tc>
          <w:tcPr>
            <w:tcW w:w="138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2955AA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Calcium containing products – Ceftriaxone</w:t>
            </w:r>
          </w:p>
        </w:tc>
        <w:tc>
          <w:tcPr>
            <w:tcW w:w="59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3C84FA6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9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6A45492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Contraindicated </w:t>
            </w:r>
          </w:p>
        </w:tc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94D2088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Good </w:t>
            </w:r>
          </w:p>
        </w:tc>
        <w:tc>
          <w:tcPr>
            <w:tcW w:w="163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E5E3C9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Formation of ceftriaxone-calcium precipitates and is contraindicated in neonates</w:t>
            </w:r>
          </w:p>
        </w:tc>
      </w:tr>
      <w:tr w:rsidR="00B60E81" w:rsidRPr="002E0CEA" w14:paraId="64EE9BE1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65875BDF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Isoniazid – Rifampin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14DC72F3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68328E32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Major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7685FDA9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Good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0D613302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Hepatotoxicity</w:t>
            </w:r>
          </w:p>
        </w:tc>
      </w:tr>
      <w:tr w:rsidR="00B60E81" w:rsidRPr="002E0CEA" w14:paraId="355BA6F4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30DF03DF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Pyrazinamide – Rifampin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76A44286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1698F795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Major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055ECDFF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Good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21117253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Hepatotoxicity</w:t>
            </w:r>
          </w:p>
        </w:tc>
      </w:tr>
      <w:tr w:rsidR="00B60E81" w:rsidRPr="002E0CEA" w14:paraId="26E1612D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1820BF73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Isoniazid – Acetaminophen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3B5D6C54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0A11AC49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Major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630B10DC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Excellent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3A92A56F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Hepatotoxicity</w:t>
            </w:r>
          </w:p>
        </w:tc>
      </w:tr>
      <w:tr w:rsidR="00B60E81" w:rsidRPr="002E0CEA" w14:paraId="6262B8A2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2F59CAA0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Prochlorperazine – Quinine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22BF1659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17C90CFB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Major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1703B8F3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Fair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04DB0BDC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QT-interval prolongation</w:t>
            </w:r>
          </w:p>
        </w:tc>
      </w:tr>
      <w:tr w:rsidR="00B60E81" w:rsidRPr="002E0CEA" w14:paraId="4F1C948F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00520429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Cefpodoxime – Ranitidine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65763C2F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03EFC620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Moderate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20905C78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Good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5D382CD3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Decreased cefpodoxime effectiveness</w:t>
            </w:r>
          </w:p>
        </w:tc>
      </w:tr>
      <w:tr w:rsidR="00B60E81" w:rsidRPr="002E0CEA" w14:paraId="38680AA9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167C2019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Metronidazole – Quinine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32E81302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0C2E08D9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Major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5D162D7E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Fair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36DC319C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QT-interval prolongation</w:t>
            </w:r>
          </w:p>
        </w:tc>
      </w:tr>
      <w:tr w:rsidR="00B60E81" w:rsidRPr="002E0CEA" w14:paraId="308CBA87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0A6DB8D5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Domperidone – Ranitidine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2E588923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1591E1AE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Major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188B7B26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Fair </w:t>
            </w:r>
            <w:bookmarkStart w:id="1" w:name="_GoBack"/>
            <w:bookmarkEnd w:id="1"/>
          </w:p>
        </w:tc>
        <w:tc>
          <w:tcPr>
            <w:tcW w:w="1632" w:type="pct"/>
            <w:shd w:val="clear" w:color="auto" w:fill="auto"/>
            <w:noWrap/>
            <w:hideMark/>
          </w:tcPr>
          <w:p w14:paraId="3A00175A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QT-interval prolongation</w:t>
            </w:r>
          </w:p>
        </w:tc>
      </w:tr>
      <w:tr w:rsidR="00B60E81" w:rsidRPr="002E0CEA" w14:paraId="53B9A107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21DC96ED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Dexamethasone – Rifampin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2696B952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7F50539B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Moderate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47A452D3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Good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060A49B0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Decreased dexamethasone effectiveness</w:t>
            </w:r>
          </w:p>
        </w:tc>
      </w:tr>
      <w:tr w:rsidR="00B60E81" w:rsidRPr="002E0CEA" w14:paraId="0473C641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13637D4F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Ciprofloxacin – Metronidazole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6ACB0B86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0A860CFE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Major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53AD22BF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Fair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341AD540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QT-interval prolongation</w:t>
            </w:r>
          </w:p>
        </w:tc>
      </w:tr>
      <w:tr w:rsidR="00B60E81" w:rsidRPr="002E0CEA" w14:paraId="158677DF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68896275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Insulin – Metformin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79932134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1C6DCE04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Moderate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3B852853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Fair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7E68CCD1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Hypoglycemia</w:t>
            </w:r>
          </w:p>
        </w:tc>
      </w:tr>
      <w:tr w:rsidR="00B60E81" w:rsidRPr="002E0CEA" w14:paraId="4B837074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62B168EC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Domperidone – Quinine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4B130771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34114E7F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Major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16FD2CD0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Fair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09ACF6C4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QT-interval prolongation</w:t>
            </w:r>
          </w:p>
        </w:tc>
      </w:tr>
      <w:tr w:rsidR="00B60E81" w:rsidRPr="002E0CEA" w14:paraId="185E28C7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0C7DF546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Dexamethasone – Diclofenac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57373DD1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7D4B6E63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Major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51D6C8A5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Fair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37DC455F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Gastrointestinal ulcer or bleeding</w:t>
            </w:r>
          </w:p>
        </w:tc>
      </w:tr>
      <w:tr w:rsidR="00B60E81" w:rsidRPr="002E0CEA" w14:paraId="594A430B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6F4F16E8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Artemether/ Lumefantrine – Domperidone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482EC076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449A4436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Major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6D37A12F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Fair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0A2F728D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QT-interval prolongation</w:t>
            </w:r>
          </w:p>
        </w:tc>
      </w:tr>
      <w:tr w:rsidR="00B60E81" w:rsidRPr="002E0CEA" w14:paraId="50B720AF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10FAE334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Aspirin – Clopidogrel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03EAEC14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666F78DB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Major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5D7C4F3C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Fair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04F89D4C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Increased risk of bleeding</w:t>
            </w:r>
          </w:p>
        </w:tc>
      </w:tr>
      <w:tr w:rsidR="00B60E81" w:rsidRPr="002E0CEA" w14:paraId="63DB0BA1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1C6DBCA2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Acyclovir – Divalproex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38EA4B46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0F568DA8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Moderate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0685159D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Good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3A9AE8A0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Decreased valproic acid plasma concentrations and potential increased seizure activity</w:t>
            </w:r>
          </w:p>
        </w:tc>
      </w:tr>
      <w:tr w:rsidR="00B60E81" w:rsidRPr="002E0CEA" w14:paraId="7E98D1B1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655A0098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Aspirin – Bisoprolol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48D5B0A5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48E67339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Moderate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4BDF1DE9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Good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498B4311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Increased blood pressure</w:t>
            </w:r>
          </w:p>
        </w:tc>
      </w:tr>
      <w:tr w:rsidR="00B60E81" w:rsidRPr="002E0CEA" w14:paraId="21926AF0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47B1706E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Calcium – Cefpodoxime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7D3312FC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2B6C4462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Moderate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738840BC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Fair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4D286408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Decreased cefpodoxime effectiveness</w:t>
            </w:r>
          </w:p>
        </w:tc>
      </w:tr>
      <w:tr w:rsidR="00B60E81" w:rsidRPr="002E0CEA" w14:paraId="3BFABFE8" w14:textId="77777777" w:rsidTr="006F22ED">
        <w:trPr>
          <w:trHeight w:val="315"/>
        </w:trPr>
        <w:tc>
          <w:tcPr>
            <w:tcW w:w="1389" w:type="pct"/>
            <w:shd w:val="clear" w:color="auto" w:fill="auto"/>
            <w:noWrap/>
            <w:hideMark/>
          </w:tcPr>
          <w:p w14:paraId="091D3F79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Alprazolam – Omeprazole</w:t>
            </w:r>
          </w:p>
        </w:tc>
        <w:tc>
          <w:tcPr>
            <w:tcW w:w="590" w:type="pct"/>
            <w:shd w:val="clear" w:color="auto" w:fill="auto"/>
            <w:noWrap/>
            <w:hideMark/>
          </w:tcPr>
          <w:p w14:paraId="4218C6F8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5" w:type="pct"/>
            <w:shd w:val="clear" w:color="auto" w:fill="auto"/>
            <w:noWrap/>
            <w:hideMark/>
          </w:tcPr>
          <w:p w14:paraId="4B95F2E8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Moderate </w:t>
            </w:r>
          </w:p>
        </w:tc>
        <w:tc>
          <w:tcPr>
            <w:tcW w:w="694" w:type="pct"/>
            <w:shd w:val="clear" w:color="auto" w:fill="auto"/>
            <w:noWrap/>
            <w:hideMark/>
          </w:tcPr>
          <w:p w14:paraId="52948DD0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Fair </w:t>
            </w:r>
          </w:p>
        </w:tc>
        <w:tc>
          <w:tcPr>
            <w:tcW w:w="1632" w:type="pct"/>
            <w:shd w:val="clear" w:color="auto" w:fill="auto"/>
            <w:noWrap/>
            <w:hideMark/>
          </w:tcPr>
          <w:p w14:paraId="2811551B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Benzodiazepine toxicity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central nervous system</w:t>
            </w: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depression, ataxia, lethargy)</w:t>
            </w:r>
          </w:p>
        </w:tc>
      </w:tr>
      <w:tr w:rsidR="00B60E81" w:rsidRPr="002E0CEA" w14:paraId="7FA9C08D" w14:textId="77777777" w:rsidTr="006F22ED">
        <w:trPr>
          <w:trHeight w:val="315"/>
        </w:trPr>
        <w:tc>
          <w:tcPr>
            <w:tcW w:w="1389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DA0EB9E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Bisoprolol – Insulin</w:t>
            </w:r>
          </w:p>
        </w:tc>
        <w:tc>
          <w:tcPr>
            <w:tcW w:w="59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17BD90D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7429A98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Moderate </w:t>
            </w:r>
          </w:p>
        </w:tc>
        <w:tc>
          <w:tcPr>
            <w:tcW w:w="69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1318F03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Good </w:t>
            </w:r>
          </w:p>
        </w:tc>
        <w:tc>
          <w:tcPr>
            <w:tcW w:w="163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5483F1B" w14:textId="77777777" w:rsidR="00B60E81" w:rsidRPr="002E0CEA" w:rsidRDefault="00B60E81" w:rsidP="00765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0CEA">
              <w:rPr>
                <w:rFonts w:ascii="Times New Roman" w:eastAsia="Times New Roman" w:hAnsi="Times New Roman" w:cs="Times New Roman"/>
                <w:sz w:val="24"/>
                <w:szCs w:val="24"/>
              </w:rPr>
              <w:t>Hypoglycemia or hyperglycemia; decreased symptoms of hypoglycemia</w:t>
            </w:r>
          </w:p>
        </w:tc>
      </w:tr>
      <w:bookmarkEnd w:id="0"/>
    </w:tbl>
    <w:p w14:paraId="545D3CC2" w14:textId="3BFAF45B" w:rsidR="00E5321D" w:rsidRDefault="00E5321D" w:rsidP="00E532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5321D" w:rsidSect="000A5E0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EC0"/>
    <w:rsid w:val="000A5E01"/>
    <w:rsid w:val="000E1BFE"/>
    <w:rsid w:val="00294CD7"/>
    <w:rsid w:val="002A2F69"/>
    <w:rsid w:val="002E0CEA"/>
    <w:rsid w:val="00411D31"/>
    <w:rsid w:val="00521590"/>
    <w:rsid w:val="00565A9E"/>
    <w:rsid w:val="006F22ED"/>
    <w:rsid w:val="00726E4D"/>
    <w:rsid w:val="00967BF3"/>
    <w:rsid w:val="00A072C2"/>
    <w:rsid w:val="00B27928"/>
    <w:rsid w:val="00B60E81"/>
    <w:rsid w:val="00CC2493"/>
    <w:rsid w:val="00E23EC0"/>
    <w:rsid w:val="00E328CD"/>
    <w:rsid w:val="00E5321D"/>
    <w:rsid w:val="00F5396D"/>
    <w:rsid w:val="00F56459"/>
    <w:rsid w:val="00F61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3C2F5"/>
  <w15:chartTrackingRefBased/>
  <w15:docId w15:val="{2FEC7FA6-11BE-4C36-B312-B003DE5EA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EC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SIDRA NOOR</dc:creator>
  <cp:keywords/>
  <dc:description/>
  <cp:lastModifiedBy>Windows User</cp:lastModifiedBy>
  <cp:revision>20</cp:revision>
  <dcterms:created xsi:type="dcterms:W3CDTF">2018-03-12T21:50:00Z</dcterms:created>
  <dcterms:modified xsi:type="dcterms:W3CDTF">2019-11-11T12:33:00Z</dcterms:modified>
</cp:coreProperties>
</file>